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219" w:rsidRPr="00C96FF4" w:rsidRDefault="00282219" w:rsidP="00282219">
      <w:pPr>
        <w:autoSpaceDE w:val="0"/>
        <w:autoSpaceDN w:val="0"/>
        <w:adjustRightInd w:val="0"/>
        <w:spacing w:after="0" w:line="240" w:lineRule="auto"/>
        <w:rPr>
          <w:rFonts w:ascii="Tms Rmn" w:hAnsi="Tms Rmn" w:cs="Tms Rmn"/>
          <w:b/>
          <w:color w:val="000000"/>
          <w:sz w:val="24"/>
          <w:szCs w:val="24"/>
        </w:rPr>
      </w:pPr>
      <w:bookmarkStart w:id="0" w:name="_GoBack"/>
      <w:bookmarkEnd w:id="0"/>
    </w:p>
    <w:p w:rsidR="00282219" w:rsidRDefault="00282219" w:rsidP="00282219">
      <w:pPr>
        <w:autoSpaceDE w:val="0"/>
        <w:autoSpaceDN w:val="0"/>
        <w:adjustRightInd w:val="0"/>
        <w:spacing w:after="0" w:line="240" w:lineRule="auto"/>
        <w:rPr>
          <w:rFonts w:ascii="Helv" w:hAnsi="Helv" w:cs="Helv"/>
          <w:color w:val="000000"/>
          <w:sz w:val="20"/>
          <w:szCs w:val="20"/>
        </w:rPr>
      </w:pPr>
      <w:r>
        <w:rPr>
          <w:rFonts w:ascii="Helv" w:hAnsi="Helv" w:cs="Helv"/>
          <w:color w:val="000000"/>
          <w:sz w:val="20"/>
          <w:szCs w:val="20"/>
        </w:rPr>
        <w:t>The following are key provisions that must be included and addressed in the Bidder’s summary of its proposed Transmission Agreement:</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Good Utility Practice requirement – applicable to design, engineering, construction, operation and maintenance of the transmission project.</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Requirement to make application for, prosecute, obtain and hold all permits, licenses, authorizations, consents, decrees, waivers, privileges and approvals from, and filings with any governmental department, agency, or authority, as required by law to commence, prosecute and complete construction of the transmission project in accordance with terms of the Agreement.  This requirement should be expanded to include any authorizations required by ISO and NERC to operate the transmission project.</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Remedies for failure to perform, including options for the EDCs or a third party to step in to complete the construction of the project or operate the line.</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Milestones that show key dates - ISO studies; land rights; permit/siting approvals; design completion; engineering completion; construction milestones; ISD; etc.</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Commitment to milestone schedule</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 xml:space="preserve">Commitment to </w:t>
      </w:r>
      <w:r w:rsidRPr="00E2768E">
        <w:rPr>
          <w:rFonts w:ascii="Helv" w:hAnsi="Helv" w:cs="Helv"/>
          <w:color w:val="000000"/>
          <w:sz w:val="20"/>
          <w:szCs w:val="20"/>
        </w:rPr>
        <w:t xml:space="preserve"> </w:t>
      </w:r>
      <w:r>
        <w:rPr>
          <w:rFonts w:ascii="Helv" w:hAnsi="Helv" w:cs="Helv"/>
          <w:color w:val="000000"/>
          <w:sz w:val="20"/>
          <w:szCs w:val="20"/>
        </w:rPr>
        <w:t>interconnect to the ISO-NE Pool Transmission Facilities (“PTF”) at the Capacity Capability Interconnection Standard, as defined by ISO-NE</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Commitment to deliver the Clean Energy Generation in accordance with the Bidder's delivery profile submitted in the bid.</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Payment - transparent cost-of-service, formula rate, replicable by the Evaluation Team or fixed rate or fixed rate with specified adjustments; treatment of network upgrade costs.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Cost Containment provisions: cost overruns, etc.</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Addressing risk that associated bid generation is late in achieving commercial operation or does not achieve commercial operation</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 xml:space="preserve">Addressing limits, if any, on seeking abandoned plant cost recovery at FERC </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Protecting customers against risks/risk sharing during term of Transmission Service Agreement - unanticipated environmental hazards during construction, damage/repair to facilities after ISD, etc.</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Annual audit rights on cost-of-service rates; requirement to maintain records and accounts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 xml:space="preserve">Quantity and characteristics of deliverable - xx MW, during which hours, certain frequency (Hz), identify the type of transmission facility (MW, UG or OH, cable size, length, etc.)  </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Clearly identify the transmission facilities EDCs are paying for (can define by points of interconnection, or points of receipt/delivery)</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Establish rights of use (MW and term)</w:t>
      </w:r>
    </w:p>
    <w:p w:rsidR="00282219" w:rsidRDefault="00282219" w:rsidP="00282219">
      <w:pPr>
        <w:numPr>
          <w:ilvl w:val="0"/>
          <w:numId w:val="1"/>
        </w:numPr>
        <w:autoSpaceDE w:val="0"/>
        <w:autoSpaceDN w:val="0"/>
        <w:adjustRightInd w:val="0"/>
        <w:spacing w:after="0" w:line="240" w:lineRule="auto"/>
        <w:ind w:left="720" w:hanging="360"/>
        <w:rPr>
          <w:rFonts w:ascii="Helv" w:hAnsi="Helv" w:cs="Helv"/>
          <w:color w:val="000000"/>
          <w:sz w:val="20"/>
          <w:szCs w:val="20"/>
        </w:rPr>
      </w:pPr>
      <w:r>
        <w:rPr>
          <w:rFonts w:ascii="Helv" w:hAnsi="Helv" w:cs="Helv"/>
          <w:color w:val="000000"/>
          <w:sz w:val="20"/>
          <w:szCs w:val="20"/>
        </w:rPr>
        <w:t xml:space="preserve">Consider including resale rights in the event the EDCs’ needs change at some point during the term.  </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Roll-over Rights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Metering - location, EDC inspection/audit rights, compliance with ISO metering requirements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Force Majeure (specify what is included and what is excluded from Force Majeure, and what are the contractual consequences)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Term of Agreement</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 xml:space="preserve">Termination Rights; Default </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Bankruptcy</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Requirement to follow ISO Operating Documents (Tariff and Operating Procedures)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Governing Law</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Limitation of Liability</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Indemnification</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Dispute Resolution Procedures</w:t>
      </w:r>
    </w:p>
    <w:p w:rsidR="00282219" w:rsidRDefault="00282219" w:rsidP="00282219">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Miscellaneous terms (successors and assign; waiver; headings; entire agreement; amendments; notices)</w:t>
      </w:r>
    </w:p>
    <w:p w:rsidR="00FB1174" w:rsidRDefault="00FB1174"/>
    <w:sectPr w:rsidR="00FB1174" w:rsidSect="00897A29">
      <w:headerReference w:type="default" r:id="rId8"/>
      <w:headerReference w:type="first" r:id="rId9"/>
      <w:pgSz w:w="12240" w:h="15840"/>
      <w:pgMar w:top="1440" w:right="1440" w:bottom="1440" w:left="1440" w:header="720" w:footer="720" w:gutter="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AFF" w:rsidRDefault="00D02AFF">
      <w:pPr>
        <w:spacing w:after="0" w:line="240" w:lineRule="auto"/>
      </w:pPr>
      <w:r>
        <w:separator/>
      </w:r>
    </w:p>
  </w:endnote>
  <w:endnote w:type="continuationSeparator" w:id="0">
    <w:p w:rsidR="00D02AFF" w:rsidRDefault="00D02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AFF" w:rsidRDefault="00D02AFF">
      <w:pPr>
        <w:spacing w:after="0" w:line="240" w:lineRule="auto"/>
      </w:pPr>
      <w:r>
        <w:separator/>
      </w:r>
    </w:p>
  </w:footnote>
  <w:footnote w:type="continuationSeparator" w:id="0">
    <w:p w:rsidR="00D02AFF" w:rsidRDefault="00D02A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A29" w:rsidRDefault="00895E13" w:rsidP="00897A29">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A29" w:rsidRDefault="00282219" w:rsidP="00897A29">
    <w:pPr>
      <w:pStyle w:val="Header"/>
      <w:jc w:val="center"/>
      <w:rPr>
        <w:b/>
      </w:rPr>
    </w:pPr>
    <w:r>
      <w:rPr>
        <w:b/>
      </w:rPr>
      <w:t>83D APPENDIX C-3 KEY TRANSMISSION AGREEMENT REQUIREMENTS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D263402"/>
    <w:lvl w:ilvl="0">
      <w:numFmt w:val="bullet"/>
      <w:lvlText w:val="*"/>
      <w:lvlJc w:val="left"/>
    </w:lvl>
  </w:abstractNum>
  <w:num w:numId="1">
    <w:abstractNumId w:val="0"/>
    <w:lvlOverride w:ilvl="0">
      <w:lvl w:ilvl="0">
        <w:numFmt w:val="bullet"/>
        <w:lvlText w:val=""/>
        <w:legacy w:legacy="1" w:legacySpace="0" w:legacyIndent="0"/>
        <w:lvlJc w:val="left"/>
        <w:rPr>
          <w:rFonts w:ascii="Symbol" w:hAnsi="Symbol" w:hint="default"/>
          <w:sz w:val="22"/>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219"/>
    <w:rsid w:val="00222406"/>
    <w:rsid w:val="00282219"/>
    <w:rsid w:val="00895E13"/>
    <w:rsid w:val="00A91615"/>
    <w:rsid w:val="00D02AFF"/>
    <w:rsid w:val="00FB1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2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22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219"/>
  </w:style>
  <w:style w:type="paragraph" w:styleId="Footer">
    <w:name w:val="footer"/>
    <w:basedOn w:val="Normal"/>
    <w:link w:val="FooterChar"/>
    <w:uiPriority w:val="99"/>
    <w:unhideWhenUsed/>
    <w:rsid w:val="00895E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E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2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22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219"/>
  </w:style>
  <w:style w:type="paragraph" w:styleId="Footer">
    <w:name w:val="footer"/>
    <w:basedOn w:val="Normal"/>
    <w:link w:val="FooterChar"/>
    <w:uiPriority w:val="99"/>
    <w:unhideWhenUsed/>
    <w:rsid w:val="00895E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E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3133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N Cronin</dc:creator>
  <cp:lastModifiedBy>Jeffery S Waltman</cp:lastModifiedBy>
  <cp:revision>2</cp:revision>
  <dcterms:created xsi:type="dcterms:W3CDTF">2017-03-31T14:49:00Z</dcterms:created>
  <dcterms:modified xsi:type="dcterms:W3CDTF">2017-03-31T14:49:00Z</dcterms:modified>
</cp:coreProperties>
</file>